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</w:rPr>
        <w:drawing>
          <wp:inline distB="114300" distT="114300" distL="114300" distR="114300">
            <wp:extent cx="5943600" cy="1752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This is a transfer agreement between (BIRTH CENTER) and (HOSPITAL)</w:t>
      </w: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.</w:t>
      </w: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 The purpose of this agreement is to facilitate the continuity of care and timely transfer of patients and medical records, and to establish a mutually beneficial collaborative arrangement between the parties.</w:t>
      </w:r>
    </w:p>
    <w:p w:rsidR="00000000" w:rsidDel="00000000" w:rsidP="00000000" w:rsidRDefault="00000000" w:rsidRPr="00000000" w14:paraId="00000004">
      <w:pPr>
        <w:pStyle w:val="Heading2"/>
        <w:spacing w:after="120" w:line="276" w:lineRule="auto"/>
        <w:rPr>
          <w:rFonts w:ascii="Source Serif Pro" w:cs="Source Serif Pro" w:eastAsia="Source Serif Pro" w:hAnsi="Source Serif Pro"/>
          <w:b w:val="0"/>
          <w:sz w:val="32"/>
          <w:szCs w:val="32"/>
          <w:shd w:fill="999069" w:val="clear"/>
        </w:rPr>
      </w:pPr>
      <w:bookmarkStart w:colFirst="0" w:colLast="0" w:name="_wvyana4jr2ju" w:id="0"/>
      <w:bookmarkEnd w:id="0"/>
      <w:r w:rsidDel="00000000" w:rsidR="00000000" w:rsidRPr="00000000">
        <w:rPr>
          <w:rFonts w:ascii="Source Serif Pro" w:cs="Source Serif Pro" w:eastAsia="Source Serif Pro" w:hAnsi="Source Serif Pro"/>
          <w:b w:val="0"/>
          <w:sz w:val="32"/>
          <w:szCs w:val="32"/>
          <w:shd w:fill="999069" w:val="clear"/>
          <w:rtl w:val="0"/>
        </w:rPr>
        <w:t xml:space="preserve">Birth Center Responsibilities</w:t>
      </w:r>
    </w:p>
    <w:p w:rsidR="00000000" w:rsidDel="00000000" w:rsidP="00000000" w:rsidRDefault="00000000" w:rsidRPr="00000000" w14:paraId="00000005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It is the Birth Center’s responsibility to provide care for their patients and newborns, in line with their policies and procedures and applicable licensure, certifications, and accreditations. </w:t>
      </w:r>
    </w:p>
    <w:p w:rsidR="00000000" w:rsidDel="00000000" w:rsidP="00000000" w:rsidRDefault="00000000" w:rsidRPr="00000000" w14:paraId="00000006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In the event the need for a transfer arises, the Birth Center shall: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ource Serif Pro" w:cs="Source Serif Pro" w:eastAsia="Source Serif Pro" w:hAnsi="Source Serif Pro"/>
          <w:color w:val="231f20"/>
        </w:rPr>
      </w:pP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Determine medical necessity for transfer according to established criteria based on Birth Center policy and professional judgment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ource Serif Pro" w:cs="Source Serif Pro" w:eastAsia="Source Serif Pro" w:hAnsi="Source Serif Pro"/>
          <w:color w:val="231f20"/>
        </w:rPr>
      </w:pP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Contact Emergency Medical Services (EMS) if the need for transfer requires EMS support.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ource Serif Pro" w:cs="Source Serif Pro" w:eastAsia="Source Serif Pro" w:hAnsi="Source Serif Pro"/>
          <w:color w:val="231f20"/>
        </w:rPr>
      </w:pP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Communicate with the patient and family about the clinical situation and recommendation of hospital-based care.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ource Serif Pro" w:cs="Source Serif Pro" w:eastAsia="Source Serif Pro" w:hAnsi="Source Serif Pro"/>
          <w:color w:val="231f20"/>
        </w:rPr>
      </w:pP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Provide the Hospital with timely notice of a transfer as far in advance as reasonably possible.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ource Serif Pro" w:cs="Source Serif Pro" w:eastAsia="Source Serif Pro" w:hAnsi="Source Serif Pro"/>
          <w:color w:val="231f20"/>
        </w:rPr>
      </w:pP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Contact and brief the 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receiving provider about the 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circumstances 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for 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transfer.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ource Serif Pro" w:cs="Source Serif Pro" w:eastAsia="Source Serif Pro" w:hAnsi="Source Serif Pro"/>
          <w:color w:val="231f20"/>
        </w:rPr>
      </w:pP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Confirm 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 acceptance of transfer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 of c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are by Hospital provider, or continuation of hospital-based care provided by the midwife, in accordance with their scope of practice and privileging status at the receiving Hospital. If the Birth Center midwife is transferring clinical responsibility to a hospital-based provider, the midwife may remain in a support capacity to promote continuity if desired by the patient.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ource Serif Pro" w:cs="Source Serif Pro" w:eastAsia="Source Serif Pro" w:hAnsi="Source Serif Pro"/>
          <w:color w:val="231f20"/>
        </w:rPr>
      </w:pP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Supply the Hospital with a complete health record relating to the transferred patient, provided at the time of transfer or as soon as possible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 thereafter.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Source Serif Pro" w:cs="Source Serif Pro" w:eastAsia="Source Serif Pro" w:hAnsi="Source Serif Pro"/>
          <w:sz w:val="32"/>
          <w:szCs w:val="32"/>
          <w:shd w:fill="99906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sz w:val="32"/>
          <w:szCs w:val="32"/>
          <w:shd w:fill="999069" w:val="clear"/>
          <w:rtl w:val="0"/>
        </w:rPr>
        <w:t xml:space="preserve">Hospital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It is the Hospital’s responsibility to evaluate and accept a request for patient transfer, pursuant it’s policies and procedures. </w:t>
      </w:r>
    </w:p>
    <w:p w:rsidR="00000000" w:rsidDel="00000000" w:rsidP="00000000" w:rsidRDefault="00000000" w:rsidRPr="00000000" w14:paraId="00000013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In the event the need a transfer is requested, the Hospital shall: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ource Serif Pro" w:cs="Source Serif Pro" w:eastAsia="Source Serif Pro" w:hAnsi="Source Serif Pro"/>
          <w:color w:val="231f20"/>
        </w:rPr>
      </w:pPr>
      <w:r w:rsidDel="00000000" w:rsidR="00000000" w:rsidRPr="00000000">
        <w:rPr>
          <w:rFonts w:ascii="Source Serif Pro" w:cs="Source Serif Pro" w:eastAsia="Source Serif Pro" w:hAnsi="Source Serif Pro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Respond promptly to requests for transfer from the Birth 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Center</w:t>
      </w:r>
      <w:r w:rsidDel="00000000" w:rsidR="00000000" w:rsidRPr="00000000">
        <w:rPr>
          <w:rFonts w:ascii="Source Serif Pro" w:cs="Source Serif Pro" w:eastAsia="Source Serif Pro" w:hAnsi="Source Serif Pro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, including confirmation regarding availability of bed space, location where patient should be transferred and name and contact information of receiving provider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ource Serif Pro" w:cs="Source Serif Pro" w:eastAsia="Source Serif Pro" w:hAnsi="Source Serif Pro"/>
          <w:color w:val="231f20"/>
        </w:rPr>
      </w:pPr>
      <w:r w:rsidDel="00000000" w:rsidR="00000000" w:rsidRPr="00000000">
        <w:rPr>
          <w:rFonts w:ascii="Source Serif Pro" w:cs="Source Serif Pro" w:eastAsia="Source Serif Pro" w:hAnsi="Source Serif Pro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Provide emergency medical assessments, examinations, testing, and treatment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 </w:t>
      </w:r>
      <w:r w:rsidDel="00000000" w:rsidR="00000000" w:rsidRPr="00000000">
        <w:rPr>
          <w:rFonts w:ascii="Source Serif Pro" w:cs="Source Serif Pro" w:eastAsia="Source Serif Pro" w:hAnsi="Source Serif Pro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for transferred patients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, when applicable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ource Serif Pro" w:cs="Source Serif Pro" w:eastAsia="Source Serif Pro" w:hAnsi="Source Serif Pro"/>
          <w:color w:val="231f20"/>
        </w:rPr>
      </w:pPr>
      <w:r w:rsidDel="00000000" w:rsidR="00000000" w:rsidRPr="00000000">
        <w:rPr>
          <w:rFonts w:ascii="Source Serif Pro" w:cs="Source Serif Pro" w:eastAsia="Source Serif Pro" w:hAnsi="Source Serif Pro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Expedite admission and care of emergency transport patients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, including newborns.</w:t>
      </w:r>
      <w:r w:rsidDel="00000000" w:rsidR="00000000" w:rsidRPr="00000000">
        <w:rPr>
          <w:rFonts w:ascii="Source Serif Pro" w:cs="Source Serif Pro" w:eastAsia="Source Serif Pro" w:hAnsi="Source Serif Pro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ource Serif Pro" w:cs="Source Serif Pro" w:eastAsia="Source Serif Pro" w:hAnsi="Source Serif Pro"/>
          <w:color w:val="231f20"/>
        </w:rPr>
      </w:pP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Refer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 care back to  the Birth Center upon discharge, if clinically appropriate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ource Serif Pro" w:cs="Source Serif Pro" w:eastAsia="Source Serif Pro" w:hAnsi="Source Serif Pro"/>
          <w:color w:val="231f20"/>
        </w:rPr>
      </w:pPr>
      <w:r w:rsidDel="00000000" w:rsidR="00000000" w:rsidRPr="00000000">
        <w:rPr>
          <w:rFonts w:ascii="Source Serif Pro" w:cs="Source Serif Pro" w:eastAsia="Source Serif Pro" w:hAnsi="Source Serif Pro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Provide copies of any treatment reports or test results to the referring birth center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 </w:t>
      </w:r>
      <w:r w:rsidDel="00000000" w:rsidR="00000000" w:rsidRPr="00000000">
        <w:rPr>
          <w:rFonts w:ascii="Source Serif Pro" w:cs="Source Serif Pro" w:eastAsia="Source Serif Pro" w:hAnsi="Source Serif Pro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Source Serif Pro" w:cs="Source Serif Pro" w:eastAsia="Source Serif Pro" w:hAnsi="Source Serif Pro"/>
          <w:color w:val="231f20"/>
          <w:rtl w:val="0"/>
        </w:rPr>
        <w:t xml:space="preserve">vider for continuity of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Source Serif Pro" w:cs="Source Serif Pro" w:eastAsia="Source Serif Pro" w:hAnsi="Source Serif Pro"/>
          <w:sz w:val="32"/>
          <w:szCs w:val="32"/>
          <w:shd w:fill="999069" w:val="clear"/>
        </w:rPr>
      </w:pPr>
      <w:r w:rsidDel="00000000" w:rsidR="00000000" w:rsidRPr="00000000">
        <w:rPr>
          <w:rFonts w:ascii="Source Serif Pro" w:cs="Source Serif Pro" w:eastAsia="Source Serif Pro" w:hAnsi="Source Serif Pro"/>
          <w:sz w:val="32"/>
          <w:szCs w:val="32"/>
          <w:shd w:fill="999069" w:val="clear"/>
          <w:rtl w:val="0"/>
        </w:rPr>
        <w:t xml:space="preserve">Joint Responsibilities</w:t>
      </w:r>
    </w:p>
    <w:p w:rsidR="00000000" w:rsidDel="00000000" w:rsidP="00000000" w:rsidRDefault="00000000" w:rsidRPr="00000000" w14:paraId="0000001C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The parties agree to establish a continuous quality improvement process wherein the parties periodically: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Conduct joint transfer drills and simulations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Review transfer outcomes and data metrics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Evaluate the efficacy of this Agreement and related processes</w:t>
      </w:r>
    </w:p>
    <w:p w:rsidR="00000000" w:rsidDel="00000000" w:rsidP="00000000" w:rsidRDefault="00000000" w:rsidRPr="00000000" w14:paraId="00000020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sz w:val="32"/>
          <w:szCs w:val="32"/>
          <w:shd w:fill="999069" w:val="clear"/>
          <w:rtl w:val="0"/>
        </w:rPr>
        <w:t xml:space="preserve">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This agreement shall be effective as of the date below and shall continue unless either party provides 180 days</w:t>
      </w: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 </w:t>
      </w:r>
      <w:r w:rsidDel="00000000" w:rsidR="00000000" w:rsidRPr="00000000">
        <w:rPr>
          <w:rFonts w:ascii="Source Serif Pro" w:cs="Source Serif Pro" w:eastAsia="Source Serif Pro" w:hAnsi="Source Serif Pro"/>
          <w:rtl w:val="0"/>
        </w:rPr>
        <w:t xml:space="preserve">advance written notice to the other party. </w:t>
      </w:r>
    </w:p>
    <w:p w:rsidR="00000000" w:rsidDel="00000000" w:rsidP="00000000" w:rsidRDefault="00000000" w:rsidRPr="00000000" w14:paraId="00000023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ource Serif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erif Pr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76" w:lineRule="auto"/>
      <w:rPr>
        <w:rFonts w:ascii="Source Serif Pro Light" w:cs="Source Serif Pro Light" w:eastAsia="Source Serif Pro Light" w:hAnsi="Source Serif Pro Light"/>
        <w:sz w:val="16"/>
        <w:szCs w:val="16"/>
        <w:highlight w:val="white"/>
      </w:rPr>
    </w:pPr>
    <w:r w:rsidDel="00000000" w:rsidR="00000000" w:rsidRPr="00000000">
      <w:rPr>
        <w:rFonts w:ascii="Source Serif Pro Light" w:cs="Source Serif Pro Light" w:eastAsia="Source Serif Pro Light" w:hAnsi="Source Serif Pro Light"/>
        <w:sz w:val="16"/>
        <w:szCs w:val="16"/>
        <w:highlight w:val="white"/>
        <w:rtl w:val="0"/>
      </w:rPr>
      <w:t xml:space="preserve">This tool was created by </w:t>
    </w:r>
    <w:r w:rsidDel="00000000" w:rsidR="00000000" w:rsidRPr="00000000">
      <w:rPr>
        <w:rFonts w:ascii="Source Serif Pro Light" w:cs="Source Serif Pro Light" w:eastAsia="Source Serif Pro Light" w:hAnsi="Source Serif Pro Light"/>
        <w:sz w:val="16"/>
        <w:szCs w:val="16"/>
        <w:rtl w:val="0"/>
      </w:rPr>
      <w:t xml:space="preserve">© Primary Maternity Care 2023 for</w:t>
    </w:r>
    <w:hyperlink r:id="rId1">
      <w:r w:rsidDel="00000000" w:rsidR="00000000" w:rsidRPr="00000000">
        <w:rPr>
          <w:rFonts w:ascii="Source Serif Pro Light" w:cs="Source Serif Pro Light" w:eastAsia="Source Serif Pro Light" w:hAnsi="Source Serif Pro Light"/>
          <w:color w:val="1155cc"/>
          <w:sz w:val="16"/>
          <w:szCs w:val="16"/>
          <w:rtl w:val="0"/>
        </w:rPr>
        <w:t xml:space="preserve"> </w:t>
      </w:r>
    </w:hyperlink>
    <w:hyperlink r:id="rId2">
      <w:r w:rsidDel="00000000" w:rsidR="00000000" w:rsidRPr="00000000">
        <w:rPr>
          <w:rFonts w:ascii="Source Serif Pro Light" w:cs="Source Serif Pro Light" w:eastAsia="Source Serif Pro Light" w:hAnsi="Source Serif Pro Light"/>
          <w:color w:val="1155cc"/>
          <w:sz w:val="16"/>
          <w:szCs w:val="16"/>
          <w:u w:val="single"/>
          <w:rtl w:val="0"/>
        </w:rPr>
        <w:t xml:space="preserve">“Hospital Guide to Integrating the Freestanding Birth Center Model”</w:t>
      </w:r>
    </w:hyperlink>
    <w:r w:rsidDel="00000000" w:rsidR="00000000" w:rsidRPr="00000000">
      <w:rPr>
        <w:rFonts w:ascii="Source Serif Pro Light" w:cs="Source Serif Pro Light" w:eastAsia="Source Serif Pro Light" w:hAnsi="Source Serif Pro Light"/>
        <w:sz w:val="16"/>
        <w:szCs w:val="16"/>
        <w:rtl w:val="0"/>
      </w:rPr>
      <w:t xml:space="preserve">.</w:t>
    </w:r>
    <w:r w:rsidDel="00000000" w:rsidR="00000000" w:rsidRPr="00000000">
      <w:rPr>
        <w:rFonts w:ascii="Source Serif Pro Light" w:cs="Source Serif Pro Light" w:eastAsia="Source Serif Pro Light" w:hAnsi="Source Serif Pro Light"/>
        <w:sz w:val="16"/>
        <w:szCs w:val="16"/>
        <w:highlight w:val="white"/>
        <w:rtl w:val="0"/>
      </w:rPr>
      <w:t xml:space="preserve"> </w:t>
    </w:r>
  </w:p>
  <w:p w:rsidR="00000000" w:rsidDel="00000000" w:rsidP="00000000" w:rsidRDefault="00000000" w:rsidRPr="00000000" w14:paraId="00000027">
    <w:pPr>
      <w:spacing w:line="276" w:lineRule="auto"/>
      <w:rPr/>
    </w:pPr>
    <w:r w:rsidDel="00000000" w:rsidR="00000000" w:rsidRPr="00000000">
      <w:rPr>
        <w:rFonts w:ascii="Source Serif Pro Light" w:cs="Source Serif Pro Light" w:eastAsia="Source Serif Pro Light" w:hAnsi="Source Serif Pro Light"/>
        <w:sz w:val="16"/>
        <w:szCs w:val="16"/>
        <w:highlight w:val="white"/>
        <w:rtl w:val="0"/>
      </w:rPr>
      <w:t xml:space="preserve">It may be adapted for use with attribution.                                                                                                                                     </w:t>
      <w:tab/>
      <w:t xml:space="preserve">          </w:t>
    </w:r>
    <w:r w:rsidDel="00000000" w:rsidR="00000000" w:rsidRPr="00000000">
      <w:rPr>
        <w:rFonts w:ascii="Source Serif Pro Light" w:cs="Source Serif Pro Light" w:eastAsia="Source Serif Pro Light" w:hAnsi="Source Serif Pro Light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erifPro-regular.ttf"/><Relationship Id="rId2" Type="http://schemas.openxmlformats.org/officeDocument/2006/relationships/font" Target="fonts/SourceSerifPro-bold.ttf"/><Relationship Id="rId3" Type="http://schemas.openxmlformats.org/officeDocument/2006/relationships/font" Target="fonts/SourceSerifPro-italic.ttf"/><Relationship Id="rId4" Type="http://schemas.openxmlformats.org/officeDocument/2006/relationships/font" Target="fonts/SourceSerifPro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SourceSerifProLight-regular.ttf"/><Relationship Id="rId6" Type="http://schemas.openxmlformats.org/officeDocument/2006/relationships/font" Target="fonts/SourceSerifProLight-bold.ttf"/><Relationship Id="rId7" Type="http://schemas.openxmlformats.org/officeDocument/2006/relationships/font" Target="fonts/SourceSerifProLight-italic.ttf"/><Relationship Id="rId8" Type="http://schemas.openxmlformats.org/officeDocument/2006/relationships/font" Target="fonts/SourceSerifPr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rimarymaternitycare.com/hospital-birthcenter-guide" TargetMode="External"/><Relationship Id="rId2" Type="http://schemas.openxmlformats.org/officeDocument/2006/relationships/hyperlink" Target="https://www.primarymaternitycare.com/hospital-birthcenter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